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276" w:lineRule="auto"/>
        <w:jc w:val="center"/>
        <w:rPr>
          <w:rFonts w:ascii="Arial" w:cs="Arial" w:eastAsia="Arial" w:hAnsi="Arial"/>
          <w:b w:val="1"/>
          <w:color w:val="980000"/>
          <w:sz w:val="28"/>
          <w:szCs w:val="28"/>
        </w:rPr>
      </w:pPr>
      <w:r w:rsidDel="00000000" w:rsidR="00000000" w:rsidRPr="00000000">
        <w:rPr>
          <w:rFonts w:ascii="Arial" w:cs="Arial" w:eastAsia="Arial" w:hAnsi="Arial"/>
          <w:b w:val="1"/>
          <w:color w:val="980000"/>
          <w:sz w:val="28"/>
          <w:szCs w:val="28"/>
          <w:rtl w:val="0"/>
        </w:rPr>
        <w:t xml:space="preserve">Policy Document of Environment and Energy Usage</w:t>
      </w:r>
    </w:p>
    <w:p w:rsidR="00000000" w:rsidDel="00000000" w:rsidP="00000000" w:rsidRDefault="00000000" w:rsidRPr="00000000" w14:paraId="00000004">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Bombay Teachers’ Training College has a policy to manage energy in a systematic way so that its impact on the environment can be minimized. This environment and energy policy is binding for all the components of the institution and applies to all its stakeholders and to the various activities undertaken by the institution.We try to incorporate and embed efficiency and environmental awareness into our day to day activities, thereby helping us to realize our responsibilities and commitment to conservation of natural resources and to limit its usage. </w:t>
      </w:r>
    </w:p>
    <w:p w:rsidR="00000000" w:rsidDel="00000000" w:rsidP="00000000" w:rsidRDefault="00000000" w:rsidRPr="00000000" w14:paraId="00000007">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Eco Club is devoted to the cause of environmental awareness, to undertake green initiatives, and to conduct green literacy programmes to save energy and to protect the environment. The Principal, in charge and members of the club strive to ensure that energy conservation initiatives are in place.</w:t>
      </w:r>
    </w:p>
    <w:p w:rsidR="00000000" w:rsidDel="00000000" w:rsidP="00000000" w:rsidRDefault="00000000" w:rsidRPr="00000000" w14:paraId="00000009">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76" w:lineRule="auto"/>
        <w:jc w:val="both"/>
        <w:rPr>
          <w:rFonts w:ascii="Times New Roman" w:cs="Times New Roman" w:eastAsia="Times New Roman" w:hAnsi="Times New Roman"/>
          <w:color w:val="191919"/>
          <w:sz w:val="24"/>
          <w:szCs w:val="24"/>
          <w:highlight w:val="white"/>
        </w:rPr>
      </w:pPr>
      <w:r w:rsidDel="00000000" w:rsidR="00000000" w:rsidRPr="00000000">
        <w:rPr>
          <w:rFonts w:ascii="Times New Roman" w:cs="Times New Roman" w:eastAsia="Times New Roman" w:hAnsi="Times New Roman"/>
          <w:color w:val="191919"/>
          <w:sz w:val="24"/>
          <w:szCs w:val="24"/>
          <w:highlight w:val="white"/>
          <w:rtl w:val="0"/>
        </w:rPr>
        <w:t xml:space="preserve">The institution has clear policy guidelines for energy conservation and use.</w:t>
      </w:r>
    </w:p>
    <w:p w:rsidR="00000000" w:rsidDel="00000000" w:rsidP="00000000" w:rsidRDefault="00000000" w:rsidRPr="00000000" w14:paraId="0000000B">
      <w:pPr>
        <w:spacing w:after="0" w:line="276" w:lineRule="auto"/>
        <w:jc w:val="both"/>
        <w:rPr>
          <w:rFonts w:ascii="Times New Roman" w:cs="Times New Roman" w:eastAsia="Times New Roman" w:hAnsi="Times New Roman"/>
          <w:color w:val="191919"/>
          <w:sz w:val="24"/>
          <w:szCs w:val="24"/>
          <w:highlight w:val="white"/>
        </w:rPr>
      </w:pPr>
      <w:r w:rsidDel="00000000" w:rsidR="00000000" w:rsidRPr="00000000">
        <w:rPr>
          <w:rtl w:val="0"/>
        </w:rPr>
      </w:r>
    </w:p>
    <w:p w:rsidR="00000000" w:rsidDel="00000000" w:rsidP="00000000" w:rsidRDefault="00000000" w:rsidRPr="00000000" w14:paraId="0000000C">
      <w:pPr>
        <w:numPr>
          <w:ilvl w:val="0"/>
          <w:numId w:val="2"/>
        </w:numPr>
        <w:spacing w:after="0" w:line="276" w:lineRule="auto"/>
        <w:ind w:left="720" w:hanging="360"/>
        <w:jc w:val="both"/>
        <w:rPr>
          <w:rFonts w:ascii="Times New Roman" w:cs="Times New Roman" w:eastAsia="Times New Roman" w:hAnsi="Times New Roman"/>
          <w:color w:val="191919"/>
          <w:sz w:val="24"/>
          <w:szCs w:val="24"/>
          <w:highlight w:val="white"/>
        </w:rPr>
      </w:pPr>
      <w:r w:rsidDel="00000000" w:rsidR="00000000" w:rsidRPr="00000000">
        <w:rPr>
          <w:rFonts w:ascii="Times New Roman" w:cs="Times New Roman" w:eastAsia="Times New Roman" w:hAnsi="Times New Roman"/>
          <w:color w:val="191919"/>
          <w:sz w:val="24"/>
          <w:szCs w:val="24"/>
          <w:highlight w:val="white"/>
          <w:rtl w:val="0"/>
        </w:rPr>
        <w:t xml:space="preserve">All individuals (teaching staff, non teaching staff  and students) of the institution should appreciate and value the use of any form of energy, like electricity and water in abundance.</w:t>
      </w:r>
    </w:p>
    <w:p w:rsidR="00000000" w:rsidDel="00000000" w:rsidP="00000000" w:rsidRDefault="00000000" w:rsidRPr="00000000" w14:paraId="0000000D">
      <w:pPr>
        <w:numPr>
          <w:ilvl w:val="0"/>
          <w:numId w:val="2"/>
        </w:numPr>
        <w:spacing w:after="0" w:line="276" w:lineRule="auto"/>
        <w:ind w:left="720" w:hanging="360"/>
        <w:jc w:val="both"/>
        <w:rPr>
          <w:rFonts w:ascii="Times New Roman" w:cs="Times New Roman" w:eastAsia="Times New Roman" w:hAnsi="Times New Roman"/>
          <w:color w:val="191919"/>
          <w:sz w:val="24"/>
          <w:szCs w:val="24"/>
          <w:highlight w:val="white"/>
        </w:rPr>
      </w:pPr>
      <w:r w:rsidDel="00000000" w:rsidR="00000000" w:rsidRPr="00000000">
        <w:rPr>
          <w:rFonts w:ascii="Times New Roman" w:cs="Times New Roman" w:eastAsia="Times New Roman" w:hAnsi="Times New Roman"/>
          <w:color w:val="191919"/>
          <w:sz w:val="24"/>
          <w:szCs w:val="24"/>
          <w:highlight w:val="white"/>
          <w:rtl w:val="0"/>
        </w:rPr>
        <w:t xml:space="preserve">They must save and prevent the misuse or wastage of any form of energy.</w:t>
      </w:r>
    </w:p>
    <w:p w:rsidR="00000000" w:rsidDel="00000000" w:rsidP="00000000" w:rsidRDefault="00000000" w:rsidRPr="00000000" w14:paraId="0000000E">
      <w:pPr>
        <w:numPr>
          <w:ilvl w:val="0"/>
          <w:numId w:val="2"/>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91919"/>
          <w:sz w:val="24"/>
          <w:szCs w:val="24"/>
          <w:highlight w:val="white"/>
          <w:rtl w:val="0"/>
        </w:rPr>
        <w:t xml:space="preserve">Use of LED lamps must be promoted in the institution.</w:t>
      </w:r>
    </w:p>
    <w:p w:rsidR="00000000" w:rsidDel="00000000" w:rsidP="00000000" w:rsidRDefault="00000000" w:rsidRPr="00000000" w14:paraId="0000000F">
      <w:pPr>
        <w:numPr>
          <w:ilvl w:val="0"/>
          <w:numId w:val="2"/>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91919"/>
          <w:sz w:val="24"/>
          <w:szCs w:val="24"/>
          <w:highlight w:val="white"/>
          <w:rtl w:val="0"/>
        </w:rPr>
        <w:t xml:space="preserve">Maximum use of daylight has to be promoted in classrooms and office rooms.</w:t>
      </w:r>
    </w:p>
    <w:p w:rsidR="00000000" w:rsidDel="00000000" w:rsidP="00000000" w:rsidRDefault="00000000" w:rsidRPr="00000000" w14:paraId="00000010">
      <w:pPr>
        <w:numPr>
          <w:ilvl w:val="0"/>
          <w:numId w:val="2"/>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91919"/>
          <w:sz w:val="24"/>
          <w:szCs w:val="24"/>
          <w:highlight w:val="white"/>
          <w:rtl w:val="0"/>
        </w:rPr>
        <w:t xml:space="preserve">Priority needs to be given to energy efficient equipment during purchase.</w:t>
      </w:r>
    </w:p>
    <w:p w:rsidR="00000000" w:rsidDel="00000000" w:rsidP="00000000" w:rsidRDefault="00000000" w:rsidRPr="00000000" w14:paraId="00000011">
      <w:pPr>
        <w:numPr>
          <w:ilvl w:val="0"/>
          <w:numId w:val="2"/>
        </w:numPr>
        <w:spacing w:after="0" w:line="276" w:lineRule="auto"/>
        <w:ind w:left="720" w:hanging="360"/>
        <w:jc w:val="both"/>
        <w:rPr>
          <w:rFonts w:ascii="Times New Roman" w:cs="Times New Roman" w:eastAsia="Times New Roman" w:hAnsi="Times New Roman"/>
          <w:color w:val="191919"/>
          <w:sz w:val="24"/>
          <w:szCs w:val="24"/>
          <w:highlight w:val="white"/>
        </w:rPr>
      </w:pPr>
      <w:r w:rsidDel="00000000" w:rsidR="00000000" w:rsidRPr="00000000">
        <w:rPr>
          <w:rFonts w:ascii="Times New Roman" w:cs="Times New Roman" w:eastAsia="Times New Roman" w:hAnsi="Times New Roman"/>
          <w:sz w:val="24"/>
          <w:szCs w:val="24"/>
          <w:rtl w:val="0"/>
        </w:rPr>
        <w:t xml:space="preserve">Energy usage and measuring its impact on the environment must be assessed periodically.   </w:t>
      </w:r>
    </w:p>
    <w:p w:rsidR="00000000" w:rsidDel="00000000" w:rsidP="00000000" w:rsidRDefault="00000000" w:rsidRPr="00000000" w14:paraId="00000012">
      <w:pPr>
        <w:numPr>
          <w:ilvl w:val="0"/>
          <w:numId w:val="2"/>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public transportation and pedestrian-friendly roads must be propagated. </w:t>
      </w:r>
    </w:p>
    <w:p w:rsidR="00000000" w:rsidDel="00000000" w:rsidP="00000000" w:rsidRDefault="00000000" w:rsidRPr="00000000" w14:paraId="00000013">
      <w:pPr>
        <w:numPr>
          <w:ilvl w:val="0"/>
          <w:numId w:val="2"/>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Systematic waste management mechanisms must be developed.  </w:t>
      </w:r>
    </w:p>
    <w:p w:rsidR="00000000" w:rsidDel="00000000" w:rsidP="00000000" w:rsidRDefault="00000000" w:rsidRPr="00000000" w14:paraId="00000014">
      <w:pPr>
        <w:numPr>
          <w:ilvl w:val="0"/>
          <w:numId w:val="2"/>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Tree plantation drives to be organized periodically.</w:t>
      </w:r>
    </w:p>
    <w:p w:rsidR="00000000" w:rsidDel="00000000" w:rsidP="00000000" w:rsidRDefault="00000000" w:rsidRPr="00000000" w14:paraId="00000015">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will also be followed:</w:t>
      </w:r>
    </w:p>
    <w:p w:rsidR="00000000" w:rsidDel="00000000" w:rsidP="00000000" w:rsidRDefault="00000000" w:rsidRPr="00000000" w14:paraId="00000017">
      <w:pPr>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take additional measures to continuously improve our energy consumption. </w:t>
      </w:r>
    </w:p>
    <w:p w:rsidR="00000000" w:rsidDel="00000000" w:rsidP="00000000" w:rsidRDefault="00000000" w:rsidRPr="00000000" w14:paraId="00000018">
      <w:pPr>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ensure the electrical system and installations function optimally.</w:t>
      </w:r>
    </w:p>
    <w:p w:rsidR="00000000" w:rsidDel="00000000" w:rsidP="00000000" w:rsidRDefault="00000000" w:rsidRPr="00000000" w14:paraId="00000019">
      <w:pPr>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ensure the availability of necessary resources to achieve our objectives.  </w:t>
      </w:r>
    </w:p>
    <w:p w:rsidR="00000000" w:rsidDel="00000000" w:rsidP="00000000" w:rsidRDefault="00000000" w:rsidRPr="00000000" w14:paraId="0000001A">
      <w:pPr>
        <w:numPr>
          <w:ilvl w:val="0"/>
          <w:numId w:val="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monitor and respond to emerging environmental and energy issues. </w:t>
      </w:r>
    </w:p>
    <w:p w:rsidR="00000000" w:rsidDel="00000000" w:rsidP="00000000" w:rsidRDefault="00000000" w:rsidRPr="00000000" w14:paraId="0000001B">
      <w:pPr>
        <w:numPr>
          <w:ilvl w:val="0"/>
          <w:numId w:val="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strengthen our employees’ and students’ environmental knowledge and skills in order to improve our own environmental performance.  </w:t>
      </w:r>
    </w:p>
    <w:p w:rsidR="00000000" w:rsidDel="00000000" w:rsidP="00000000" w:rsidRDefault="00000000" w:rsidRPr="00000000" w14:paraId="0000001C">
      <w:pPr>
        <w:numPr>
          <w:ilvl w:val="0"/>
          <w:numId w:val="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provide information and training opportunities on energy saving measures.  </w:t>
      </w:r>
    </w:p>
    <w:p w:rsidR="00000000" w:rsidDel="00000000" w:rsidP="00000000" w:rsidRDefault="00000000" w:rsidRPr="00000000" w14:paraId="0000001D">
      <w:pPr>
        <w:numPr>
          <w:ilvl w:val="0"/>
          <w:numId w:val="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offer opportunities for employees and students to engage in initiatives that contribute to environmental protection.  </w:t>
      </w:r>
    </w:p>
    <w:p w:rsidR="00000000" w:rsidDel="00000000" w:rsidP="00000000" w:rsidRDefault="00000000" w:rsidRPr="00000000" w14:paraId="0000001E">
      <w:pPr>
        <w:spacing w:after="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train our employees and students through our Eco Club to make them 'Go Green Specialists' and partners to plant trees each year. </w:t>
      </w:r>
    </w:p>
    <w:p w:rsidR="00000000" w:rsidDel="00000000" w:rsidP="00000000" w:rsidRDefault="00000000" w:rsidRPr="00000000" w14:paraId="00000020">
      <w:pPr>
        <w:numPr>
          <w:ilvl w:val="0"/>
          <w:numId w:val="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91919"/>
          <w:sz w:val="24"/>
          <w:szCs w:val="24"/>
          <w:highlight w:val="white"/>
          <w:rtl w:val="0"/>
        </w:rPr>
        <w:t xml:space="preserve">Signboards on energy conservation need to be displayed at the focal points of the institution.</w:t>
      </w:r>
      <w:r w:rsidDel="00000000" w:rsidR="00000000" w:rsidRPr="00000000">
        <w:rPr>
          <w:rtl w:val="0"/>
        </w:rPr>
      </w:r>
    </w:p>
    <w:p w:rsidR="00000000" w:rsidDel="00000000" w:rsidP="00000000" w:rsidRDefault="00000000" w:rsidRPr="00000000" w14:paraId="00000021">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will be communicated to the students and employees via internal communication channels, and will be made available to all the stakeholders on the institutional website. The Environment and Energy Policy, objectives and targets will be reviewed on a regular basis by the Eco Club in </w:t>
      </w:r>
      <w:r w:rsidDel="00000000" w:rsidR="00000000" w:rsidRPr="00000000">
        <w:rPr>
          <w:rFonts w:ascii="Times New Roman" w:cs="Times New Roman" w:eastAsia="Times New Roman" w:hAnsi="Times New Roman"/>
          <w:sz w:val="24"/>
          <w:szCs w:val="24"/>
          <w:rtl w:val="0"/>
        </w:rPr>
        <w:t xml:space="preserve">charges</w:t>
      </w:r>
      <w:r w:rsidDel="00000000" w:rsidR="00000000" w:rsidRPr="00000000">
        <w:rPr>
          <w:rFonts w:ascii="Times New Roman" w:cs="Times New Roman" w:eastAsia="Times New Roman" w:hAnsi="Times New Roman"/>
          <w:sz w:val="24"/>
          <w:szCs w:val="24"/>
          <w:rtl w:val="0"/>
        </w:rPr>
        <w:t xml:space="preserve"> and its members under the guidance of the Principal of the college.</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ind w:firstLine="720"/>
        <w:rPr>
          <w:sz w:val="24"/>
          <w:szCs w:val="24"/>
        </w:rPr>
      </w:pPr>
      <w:r w:rsidDel="00000000" w:rsidR="00000000" w:rsidRPr="00000000">
        <w:rPr>
          <w:rtl w:val="0"/>
        </w:rPr>
      </w:r>
    </w:p>
    <w:sectPr>
      <w:headerReference r:id="rId6" w:type="default"/>
      <w:footerReference r:id="rId7" w:type="default"/>
      <w:pgSz w:h="16838" w:w="11906" w:orient="portrait"/>
      <w:pgMar w:bottom="709" w:top="1440" w:left="1440" w:right="1440" w:header="19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Our Vision – To emerge as a centre of excellence in teacher education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-38099</wp:posOffset>
              </wp:positionV>
              <wp:extent cx="7600950" cy="12700"/>
              <wp:effectExtent b="0" l="0" r="0" t="0"/>
              <wp:wrapNone/>
              <wp:docPr id="1" name=""/>
              <a:graphic>
                <a:graphicData uri="http://schemas.microsoft.com/office/word/2010/wordprocessingShape">
                  <wps:wsp>
                    <wps:cNvCnPr/>
                    <wps:spPr>
                      <a:xfrm>
                        <a:off x="1545525" y="3780000"/>
                        <a:ext cx="760095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-38099</wp:posOffset>
              </wp:positionV>
              <wp:extent cx="7600950" cy="127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0095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-800099</wp:posOffset>
          </wp:positionH>
          <wp:positionV relativeFrom="paragraph">
            <wp:posOffset>-1142999</wp:posOffset>
          </wp:positionV>
          <wp:extent cx="1209675" cy="1304925"/>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9675" cy="1304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5286375</wp:posOffset>
          </wp:positionH>
          <wp:positionV relativeFrom="paragraph">
            <wp:posOffset>-1142999</wp:posOffset>
          </wp:positionV>
          <wp:extent cx="1333500" cy="1304925"/>
          <wp:effectExtent b="0" l="0" r="0" t="0"/>
          <wp:wrapNone/>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33500" cy="130492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328613</wp:posOffset>
              </wp:positionH>
              <wp:positionV relativeFrom="paragraph">
                <wp:posOffset>-962024</wp:posOffset>
              </wp:positionV>
              <wp:extent cx="5057775" cy="1183323"/>
              <wp:effectExtent b="0" l="0" r="0" t="0"/>
              <wp:wrapNone/>
              <wp:docPr id="2" name=""/>
              <a:graphic>
                <a:graphicData uri="http://schemas.microsoft.com/office/word/2010/wordprocessingShape">
                  <wps:wsp>
                    <wps:cNvSpPr/>
                    <wps:cNvPr id="3" name="Shape 3"/>
                    <wps:spPr>
                      <a:xfrm>
                        <a:off x="2771450" y="3265650"/>
                        <a:ext cx="5164200" cy="1028700"/>
                      </a:xfrm>
                      <a:prstGeom prst="rect">
                        <a:avLst/>
                      </a:prstGeom>
                      <a:solidFill>
                        <a:schemeClr val="lt1"/>
                      </a:solid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t xml:space="preserve">BOMBAY TEACHERS’ TRAINING COLLEGE</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A Constituent College of HSNC University, Mumbai</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Recognized By NCTE</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Re-Accredited ‘A’ Grade by NAAC (3</w:t>
                          </w:r>
                          <w:r w:rsidDel="00000000" w:rsidR="00000000" w:rsidRPr="00000000">
                            <w:rPr>
                              <w:rFonts w:ascii="Calibri" w:cs="Calibri" w:eastAsia="Calibri" w:hAnsi="Calibri"/>
                              <w:b w:val="1"/>
                              <w:i w:val="0"/>
                              <w:smallCaps w:val="0"/>
                              <w:strike w:val="0"/>
                              <w:color w:val="000000"/>
                              <w:sz w:val="24"/>
                              <w:vertAlign w:val="superscript"/>
                            </w:rPr>
                            <w:t xml:space="preserve">rd</w:t>
                          </w:r>
                          <w:r w:rsidDel="00000000" w:rsidR="00000000" w:rsidRPr="00000000">
                            <w:rPr>
                              <w:rFonts w:ascii="Calibri" w:cs="Calibri" w:eastAsia="Calibri" w:hAnsi="Calibri"/>
                              <w:b w:val="1"/>
                              <w:i w:val="0"/>
                              <w:smallCaps w:val="0"/>
                              <w:strike w:val="0"/>
                              <w:color w:val="000000"/>
                              <w:sz w:val="24"/>
                              <w:vertAlign w:val="baseline"/>
                            </w:rPr>
                            <w:t xml:space="preserve"> Cycle)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328613</wp:posOffset>
              </wp:positionH>
              <wp:positionV relativeFrom="paragraph">
                <wp:posOffset>-962024</wp:posOffset>
              </wp:positionV>
              <wp:extent cx="5057775" cy="1183323"/>
              <wp:effectExtent b="0" l="0" r="0" t="0"/>
              <wp:wrapNone/>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057775" cy="118332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